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E3B0" w14:textId="77777777" w:rsidR="0031585F" w:rsidRPr="0031585F" w:rsidRDefault="0031585F" w:rsidP="0031585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roofErr w:type="spellStart"/>
      <w:r w:rsidRPr="0031585F">
        <w:rPr>
          <w:rFonts w:ascii="Lato" w:eastAsia="Times New Roman" w:hAnsi="Lato" w:cs="Times New Roman"/>
          <w:color w:val="CC3300"/>
          <w:kern w:val="36"/>
          <w:sz w:val="36"/>
          <w:szCs w:val="36"/>
          <w:lang w:eastAsia="fr-BE"/>
          <w14:ligatures w14:val="none"/>
        </w:rPr>
        <w:t>Nornickel</w:t>
      </w:r>
      <w:proofErr w:type="spellEnd"/>
      <w:r w:rsidRPr="0031585F">
        <w:rPr>
          <w:rFonts w:ascii="Lato" w:eastAsia="Times New Roman" w:hAnsi="Lato" w:cs="Times New Roman"/>
          <w:color w:val="CC3300"/>
          <w:kern w:val="36"/>
          <w:sz w:val="36"/>
          <w:szCs w:val="36"/>
          <w:lang w:eastAsia="fr-BE"/>
          <w14:ligatures w14:val="none"/>
        </w:rPr>
        <w:t xml:space="preserve"> revoit à la baisse son excédent de marché pour le nickel</w:t>
      </w:r>
    </w:p>
    <w:p w14:paraId="56338D7D" w14:textId="77777777" w:rsidR="0031585F" w:rsidRDefault="0031585F" w:rsidP="0031585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4A8AE1E" w14:textId="5AF077DF" w:rsidR="0031585F" w:rsidRPr="0031585F" w:rsidRDefault="0031585F" w:rsidP="0031585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1585F">
        <w:rPr>
          <w:rFonts w:ascii="Lato" w:eastAsia="Times New Roman" w:hAnsi="Lato" w:cs="Times New Roman"/>
          <w:color w:val="000000"/>
          <w:kern w:val="0"/>
          <w:sz w:val="23"/>
          <w:szCs w:val="23"/>
          <w:lang w:eastAsia="fr-BE"/>
          <w14:ligatures w14:val="none"/>
        </w:rPr>
        <w:t>Le producteur russe </w:t>
      </w:r>
      <w:proofErr w:type="spellStart"/>
      <w:r w:rsidRPr="0031585F">
        <w:rPr>
          <w:rFonts w:ascii="Lato" w:eastAsia="Times New Roman" w:hAnsi="Lato" w:cs="Times New Roman"/>
          <w:b/>
          <w:bCs/>
          <w:color w:val="000000"/>
          <w:kern w:val="0"/>
          <w:sz w:val="23"/>
          <w:szCs w:val="23"/>
          <w:lang w:eastAsia="fr-BE"/>
          <w14:ligatures w14:val="none"/>
        </w:rPr>
        <w:t>Nornickel</w:t>
      </w:r>
      <w:proofErr w:type="spellEnd"/>
      <w:r w:rsidRPr="0031585F">
        <w:rPr>
          <w:rFonts w:ascii="Lato" w:eastAsia="Times New Roman" w:hAnsi="Lato" w:cs="Times New Roman"/>
          <w:b/>
          <w:bCs/>
          <w:color w:val="000000"/>
          <w:kern w:val="0"/>
          <w:sz w:val="23"/>
          <w:szCs w:val="23"/>
          <w:lang w:eastAsia="fr-BE"/>
          <w14:ligatures w14:val="none"/>
        </w:rPr>
        <w:t> </w:t>
      </w:r>
      <w:r w:rsidRPr="0031585F">
        <w:rPr>
          <w:rFonts w:ascii="Lato" w:eastAsia="Times New Roman" w:hAnsi="Lato" w:cs="Times New Roman"/>
          <w:color w:val="000000"/>
          <w:kern w:val="0"/>
          <w:sz w:val="23"/>
          <w:szCs w:val="23"/>
          <w:lang w:eastAsia="fr-BE"/>
          <w14:ligatures w14:val="none"/>
        </w:rPr>
        <w:t>a revu à la baisse sa projection d’excédent du marché mondial du </w:t>
      </w:r>
      <w:r w:rsidRPr="0031585F">
        <w:rPr>
          <w:rFonts w:ascii="Lato" w:eastAsia="Times New Roman" w:hAnsi="Lato" w:cs="Times New Roman"/>
          <w:color w:val="000000"/>
          <w:kern w:val="0"/>
          <w:sz w:val="23"/>
          <w:szCs w:val="23"/>
          <w:u w:val="single"/>
          <w:lang w:eastAsia="fr-BE"/>
          <w14:ligatures w14:val="none"/>
        </w:rPr>
        <w:t>nickel</w:t>
      </w:r>
      <w:r w:rsidRPr="0031585F">
        <w:rPr>
          <w:rFonts w:ascii="Lato" w:eastAsia="Times New Roman" w:hAnsi="Lato" w:cs="Times New Roman"/>
          <w:color w:val="000000"/>
          <w:kern w:val="0"/>
          <w:sz w:val="23"/>
          <w:szCs w:val="23"/>
          <w:lang w:eastAsia="fr-BE"/>
          <w14:ligatures w14:val="none"/>
        </w:rPr>
        <w:t> et à la hausse celle du déficit du marché mondial du </w:t>
      </w:r>
      <w:r w:rsidRPr="0031585F">
        <w:rPr>
          <w:rFonts w:ascii="Lato" w:eastAsia="Times New Roman" w:hAnsi="Lato" w:cs="Times New Roman"/>
          <w:color w:val="000000"/>
          <w:kern w:val="0"/>
          <w:sz w:val="23"/>
          <w:szCs w:val="23"/>
          <w:u w:val="single"/>
          <w:lang w:eastAsia="fr-BE"/>
          <w14:ligatures w14:val="none"/>
        </w:rPr>
        <w:t>palladium</w:t>
      </w:r>
      <w:r w:rsidRPr="0031585F">
        <w:rPr>
          <w:rFonts w:ascii="Lato" w:eastAsia="Times New Roman" w:hAnsi="Lato" w:cs="Times New Roman"/>
          <w:color w:val="000000"/>
          <w:kern w:val="0"/>
          <w:sz w:val="23"/>
          <w:szCs w:val="23"/>
          <w:lang w:eastAsia="fr-BE"/>
          <w14:ligatures w14:val="none"/>
        </w:rPr>
        <w:t>. Il table désormais sur un excédent de 100.000 tonnes de nickel en 2024, contre une précédente estimation de 190.000 tonnes. L’essentiel de l’excédent concerne le nickel de qualité inférieur. Pour 2025, il prévoit également un excédent de 100.000 tonnes. « </w:t>
      </w:r>
      <w:r w:rsidRPr="0031585F">
        <w:rPr>
          <w:rFonts w:ascii="Lato" w:eastAsia="Times New Roman" w:hAnsi="Lato" w:cs="Times New Roman"/>
          <w:i/>
          <w:iCs/>
          <w:color w:val="000000"/>
          <w:kern w:val="0"/>
          <w:sz w:val="23"/>
          <w:szCs w:val="23"/>
          <w:lang w:eastAsia="fr-BE"/>
          <w14:ligatures w14:val="none"/>
        </w:rPr>
        <w:t>La croissance de la demande en nickel dans les segments de l’acier inoxydable, des alliages et des aciers spéciaux, et des véhicules électriques sera en partie effacée par celle de la production indonésienne et de composés chimiques </w:t>
      </w:r>
      <w:r w:rsidRPr="0031585F">
        <w:rPr>
          <w:rFonts w:ascii="Lato" w:eastAsia="Times New Roman" w:hAnsi="Lato" w:cs="Times New Roman"/>
          <w:color w:val="000000"/>
          <w:kern w:val="0"/>
          <w:sz w:val="23"/>
          <w:szCs w:val="23"/>
          <w:lang w:eastAsia="fr-BE"/>
          <w14:ligatures w14:val="none"/>
        </w:rPr>
        <w:t>», explique le rapport.</w:t>
      </w:r>
    </w:p>
    <w:p w14:paraId="662C9E78" w14:textId="77777777" w:rsidR="0031585F" w:rsidRPr="0031585F" w:rsidRDefault="0031585F" w:rsidP="0031585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1585F">
        <w:rPr>
          <w:rFonts w:ascii="Lato" w:eastAsia="Times New Roman" w:hAnsi="Lato" w:cs="Times New Roman"/>
          <w:color w:val="000000"/>
          <w:kern w:val="0"/>
          <w:sz w:val="23"/>
          <w:szCs w:val="23"/>
          <w:lang w:eastAsia="fr-BE"/>
          <w14:ligatures w14:val="none"/>
        </w:rPr>
        <w:t>S’agissant du </w:t>
      </w:r>
      <w:r w:rsidRPr="0031585F">
        <w:rPr>
          <w:rFonts w:ascii="Lato" w:eastAsia="Times New Roman" w:hAnsi="Lato" w:cs="Times New Roman"/>
          <w:color w:val="000000"/>
          <w:kern w:val="0"/>
          <w:sz w:val="23"/>
          <w:szCs w:val="23"/>
          <w:u w:val="single"/>
          <w:lang w:eastAsia="fr-BE"/>
          <w14:ligatures w14:val="none"/>
        </w:rPr>
        <w:t>palladium</w:t>
      </w:r>
      <w:r w:rsidRPr="0031585F">
        <w:rPr>
          <w:rFonts w:ascii="Lato" w:eastAsia="Times New Roman" w:hAnsi="Lato" w:cs="Times New Roman"/>
          <w:color w:val="000000"/>
          <w:kern w:val="0"/>
          <w:sz w:val="23"/>
          <w:szCs w:val="23"/>
          <w:lang w:eastAsia="fr-BE"/>
          <w14:ligatures w14:val="none"/>
        </w:rPr>
        <w:t>, </w:t>
      </w:r>
      <w:proofErr w:type="spellStart"/>
      <w:r w:rsidRPr="0031585F">
        <w:rPr>
          <w:rFonts w:ascii="Lato" w:eastAsia="Times New Roman" w:hAnsi="Lato" w:cs="Times New Roman"/>
          <w:b/>
          <w:bCs/>
          <w:color w:val="000000"/>
          <w:kern w:val="0"/>
          <w:sz w:val="23"/>
          <w:szCs w:val="23"/>
          <w:lang w:eastAsia="fr-BE"/>
          <w14:ligatures w14:val="none"/>
        </w:rPr>
        <w:t>Nornickel</w:t>
      </w:r>
      <w:proofErr w:type="spellEnd"/>
      <w:r w:rsidRPr="0031585F">
        <w:rPr>
          <w:rFonts w:ascii="Lato" w:eastAsia="Times New Roman" w:hAnsi="Lato" w:cs="Times New Roman"/>
          <w:color w:val="000000"/>
          <w:kern w:val="0"/>
          <w:sz w:val="23"/>
          <w:szCs w:val="23"/>
          <w:lang w:eastAsia="fr-BE"/>
          <w14:ligatures w14:val="none"/>
        </w:rPr>
        <w:t>, qui représente 40% de la production mondiale, a révisé à la hausse la prévision de déficit du marché mondial à 900.000 onces en 2024, contre 400.000 onces précédemment. L’accroissement du déficit est imputé au recul de la production de métal de seconde fusion. Pour 2025, le groupe prévoit un déficit de 300.000 onces.</w:t>
      </w:r>
    </w:p>
    <w:p w14:paraId="7448ED8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5F"/>
    <w:rsid w:val="00197B47"/>
    <w:rsid w:val="00287462"/>
    <w:rsid w:val="003158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17E8"/>
  <w15:chartTrackingRefBased/>
  <w15:docId w15:val="{4B299700-FD2F-475B-81BE-53B43F16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5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5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58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58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58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58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58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58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58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58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58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58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58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58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58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58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58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585F"/>
    <w:rPr>
      <w:rFonts w:eastAsiaTheme="majorEastAsia" w:cstheme="majorBidi"/>
      <w:color w:val="272727" w:themeColor="text1" w:themeTint="D8"/>
    </w:rPr>
  </w:style>
  <w:style w:type="paragraph" w:styleId="Titre">
    <w:name w:val="Title"/>
    <w:basedOn w:val="Normal"/>
    <w:next w:val="Normal"/>
    <w:link w:val="TitreCar"/>
    <w:uiPriority w:val="10"/>
    <w:qFormat/>
    <w:rsid w:val="00315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58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58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58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585F"/>
    <w:pPr>
      <w:spacing w:before="160"/>
      <w:jc w:val="center"/>
    </w:pPr>
    <w:rPr>
      <w:i/>
      <w:iCs/>
      <w:color w:val="404040" w:themeColor="text1" w:themeTint="BF"/>
    </w:rPr>
  </w:style>
  <w:style w:type="character" w:customStyle="1" w:styleId="CitationCar">
    <w:name w:val="Citation Car"/>
    <w:basedOn w:val="Policepardfaut"/>
    <w:link w:val="Citation"/>
    <w:uiPriority w:val="29"/>
    <w:rsid w:val="0031585F"/>
    <w:rPr>
      <w:i/>
      <w:iCs/>
      <w:color w:val="404040" w:themeColor="text1" w:themeTint="BF"/>
    </w:rPr>
  </w:style>
  <w:style w:type="paragraph" w:styleId="Paragraphedeliste">
    <w:name w:val="List Paragraph"/>
    <w:basedOn w:val="Normal"/>
    <w:uiPriority w:val="34"/>
    <w:qFormat/>
    <w:rsid w:val="0031585F"/>
    <w:pPr>
      <w:ind w:left="720"/>
      <w:contextualSpacing/>
    </w:pPr>
  </w:style>
  <w:style w:type="character" w:styleId="Accentuationintense">
    <w:name w:val="Intense Emphasis"/>
    <w:basedOn w:val="Policepardfaut"/>
    <w:uiPriority w:val="21"/>
    <w:qFormat/>
    <w:rsid w:val="0031585F"/>
    <w:rPr>
      <w:i/>
      <w:iCs/>
      <w:color w:val="0F4761" w:themeColor="accent1" w:themeShade="BF"/>
    </w:rPr>
  </w:style>
  <w:style w:type="paragraph" w:styleId="Citationintense">
    <w:name w:val="Intense Quote"/>
    <w:basedOn w:val="Normal"/>
    <w:next w:val="Normal"/>
    <w:link w:val="CitationintenseCar"/>
    <w:uiPriority w:val="30"/>
    <w:qFormat/>
    <w:rsid w:val="00315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585F"/>
    <w:rPr>
      <w:i/>
      <w:iCs/>
      <w:color w:val="0F4761" w:themeColor="accent1" w:themeShade="BF"/>
    </w:rPr>
  </w:style>
  <w:style w:type="character" w:styleId="Rfrenceintense">
    <w:name w:val="Intense Reference"/>
    <w:basedOn w:val="Policepardfaut"/>
    <w:uiPriority w:val="32"/>
    <w:qFormat/>
    <w:rsid w:val="00315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67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934</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2024-06-10T06:12:00Z</dcterms:created>
  <dcterms:modified xsi:type="dcterms:W3CDTF">2024-06-10T06:13:00Z</dcterms:modified>
</cp:coreProperties>
</file>